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29" w:rsidRDefault="001E1029">
      <w:pPr>
        <w:spacing w:after="0"/>
        <w:ind w:left="17" w:hanging="10"/>
        <w:jc w:val="center"/>
      </w:pPr>
      <w:r>
        <w:rPr>
          <w:rFonts w:ascii="Times New Roman" w:hAnsi="Times New Roman" w:cs="Times New Roman"/>
          <w:b/>
          <w:sz w:val="24"/>
        </w:rPr>
        <w:t xml:space="preserve">LITTLE ELM VALLEY WSC </w:t>
      </w:r>
    </w:p>
    <w:p w:rsidR="001E1029" w:rsidRDefault="001E1029">
      <w:pPr>
        <w:spacing w:after="0"/>
        <w:ind w:left="13" w:hanging="10"/>
        <w:jc w:val="center"/>
      </w:pPr>
      <w:r>
        <w:rPr>
          <w:rFonts w:ascii="Times New Roman" w:hAnsi="Times New Roman" w:cs="Times New Roman"/>
          <w:sz w:val="24"/>
        </w:rPr>
        <w:t xml:space="preserve">BOARD OF DIRECTORS MEETING AGENDA </w:t>
      </w:r>
    </w:p>
    <w:p w:rsidR="001E1029" w:rsidRDefault="001E1029">
      <w:pPr>
        <w:spacing w:after="0"/>
        <w:ind w:left="13" w:hanging="10"/>
        <w:jc w:val="center"/>
      </w:pPr>
      <w:r>
        <w:rPr>
          <w:rFonts w:ascii="Times New Roman" w:hAnsi="Times New Roman" w:cs="Times New Roman"/>
          <w:sz w:val="24"/>
        </w:rPr>
        <w:t xml:space="preserve">December 14, 2017 </w:t>
      </w:r>
    </w:p>
    <w:p w:rsidR="001E1029" w:rsidRDefault="001E1029">
      <w:pPr>
        <w:spacing w:after="41"/>
      </w:pPr>
      <w:r>
        <w:rPr>
          <w:rFonts w:ascii="Times New Roman" w:hAnsi="Times New Roman" w:cs="Times New Roman"/>
          <w:sz w:val="20"/>
        </w:rPr>
        <w:t xml:space="preserve"> </w:t>
      </w:r>
    </w:p>
    <w:p w:rsidR="001E1029" w:rsidRDefault="001E1029">
      <w:pPr>
        <w:spacing w:after="11" w:line="248" w:lineRule="auto"/>
        <w:ind w:left="10" w:right="88" w:hanging="10"/>
        <w:jc w:val="both"/>
      </w:pPr>
      <w:r>
        <w:rPr>
          <w:rFonts w:ascii="Times New Roman" w:hAnsi="Times New Roman" w:cs="Times New Roman"/>
          <w:sz w:val="24"/>
        </w:rPr>
        <w:t xml:space="preserve">Notice is hereby given that the Little Elm Valley Water Supply Corporations Board of Directors will meet on </w:t>
      </w:r>
      <w:r>
        <w:rPr>
          <w:rFonts w:ascii="Times New Roman" w:hAnsi="Times New Roman" w:cs="Times New Roman"/>
          <w:b/>
          <w:sz w:val="24"/>
          <w:u w:val="single" w:color="000000"/>
        </w:rPr>
        <w:t>Thursday, December 14, 2017 at 7:00 p.m.</w:t>
      </w:r>
      <w:r>
        <w:rPr>
          <w:rFonts w:ascii="Times New Roman" w:hAnsi="Times New Roman" w:cs="Times New Roman"/>
          <w:sz w:val="24"/>
        </w:rPr>
        <w:t xml:space="preserve">, in the </w:t>
      </w:r>
      <w:r>
        <w:rPr>
          <w:rFonts w:ascii="Times New Roman" w:hAnsi="Times New Roman" w:cs="Times New Roman"/>
          <w:sz w:val="24"/>
          <w:shd w:val="clear" w:color="auto" w:fill="FFFF00"/>
        </w:rPr>
        <w:t>Ratibor Country Grill</w:t>
      </w:r>
      <w:r>
        <w:rPr>
          <w:rFonts w:ascii="Times New Roman" w:hAnsi="Times New Roman" w:cs="Times New Roman"/>
          <w:sz w:val="24"/>
        </w:rPr>
        <w:t xml:space="preserve">, 10226 FM 2086, Temple, Texas. The Board reserves the right to act on any information items. Items to be presented are as follows:   </w:t>
      </w:r>
    </w:p>
    <w:p w:rsidR="001E1029" w:rsidRDefault="001E1029">
      <w:pPr>
        <w:spacing w:after="27"/>
        <w:ind w:left="52"/>
        <w:jc w:val="center"/>
      </w:pPr>
      <w:r>
        <w:rPr>
          <w:rFonts w:ascii="Times New Roman" w:hAnsi="Times New Roman" w:cs="Times New Roman"/>
          <w:sz w:val="20"/>
        </w:rPr>
        <w:t xml:space="preserve"> </w:t>
      </w:r>
    </w:p>
    <w:p w:rsidR="001E1029" w:rsidRDefault="001E1029">
      <w:pPr>
        <w:spacing w:after="0"/>
        <w:ind w:left="17" w:right="21" w:hanging="10"/>
        <w:jc w:val="center"/>
      </w:pPr>
      <w:r>
        <w:rPr>
          <w:rFonts w:ascii="Times New Roman" w:hAnsi="Times New Roman" w:cs="Times New Roman"/>
          <w:b/>
          <w:sz w:val="24"/>
        </w:rPr>
        <w:t xml:space="preserve">Agenda </w:t>
      </w:r>
    </w:p>
    <w:p w:rsidR="001E1029" w:rsidRDefault="001E1029">
      <w:pPr>
        <w:spacing w:after="27"/>
      </w:pPr>
      <w:r>
        <w:rPr>
          <w:rFonts w:ascii="Times New Roman" w:hAnsi="Times New Roman" w:cs="Times New Roman"/>
          <w:sz w:val="20"/>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Call meeting to Order by presiding officer. </w:t>
      </w:r>
    </w:p>
    <w:p w:rsidR="001E1029" w:rsidRDefault="001E1029">
      <w:pPr>
        <w:spacing w:after="27"/>
      </w:pPr>
      <w:r>
        <w:rPr>
          <w:rFonts w:ascii="Times New Roman" w:hAnsi="Times New Roman" w:cs="Times New Roman"/>
          <w:sz w:val="20"/>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Roll Call of Directors and establish a Quorum.  </w:t>
      </w:r>
    </w:p>
    <w:p w:rsidR="001E1029" w:rsidRDefault="001E1029">
      <w:pPr>
        <w:spacing w:after="50"/>
      </w:pPr>
      <w:r>
        <w:rPr>
          <w:rFonts w:ascii="Times New Roman" w:hAnsi="Times New Roman" w:cs="Times New Roman"/>
          <w:sz w:val="20"/>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Public Comments </w:t>
      </w:r>
      <w:r>
        <w:rPr>
          <w:rFonts w:ascii="Times New Roman" w:hAnsi="Times New Roman" w:cs="Times New Roman"/>
          <w:sz w:val="17"/>
        </w:rPr>
        <w:t xml:space="preserve">[1] </w:t>
      </w:r>
    </w:p>
    <w:p w:rsidR="001E1029" w:rsidRDefault="001E1029">
      <w:pPr>
        <w:spacing w:after="27"/>
      </w:pPr>
      <w:r>
        <w:rPr>
          <w:rFonts w:ascii="Times New Roman" w:hAnsi="Times New Roman" w:cs="Times New Roman"/>
          <w:sz w:val="20"/>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Report from CTWSC Board Member. </w:t>
      </w:r>
    </w:p>
    <w:p w:rsidR="001E1029" w:rsidRDefault="001E1029">
      <w:pPr>
        <w:spacing w:after="27"/>
      </w:pPr>
      <w:r>
        <w:rPr>
          <w:rFonts w:ascii="Times New Roman" w:hAnsi="Times New Roman" w:cs="Times New Roman"/>
          <w:sz w:val="20"/>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Managers Report - System operation. </w:t>
      </w:r>
    </w:p>
    <w:p w:rsidR="001E1029" w:rsidRDefault="001E1029">
      <w:pPr>
        <w:spacing w:after="0"/>
        <w:ind w:left="720"/>
      </w:pPr>
      <w:r>
        <w:rPr>
          <w:rFonts w:ascii="Times New Roman" w:hAnsi="Times New Roman" w:cs="Times New Roman"/>
          <w:sz w:val="24"/>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Consent Agenda:  Previous Meeting Minutes and Payment of Bills. </w:t>
      </w:r>
    </w:p>
    <w:p w:rsidR="001E1029" w:rsidRDefault="001E1029">
      <w:pPr>
        <w:spacing w:after="43"/>
        <w:ind w:left="720"/>
      </w:pPr>
      <w:r>
        <w:rPr>
          <w:rFonts w:ascii="Times New Roman" w:hAnsi="Times New Roman" w:cs="Times New Roman"/>
          <w:sz w:val="20"/>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Discuss/Review – Financial Statements and adjustment reports.</w:t>
      </w:r>
      <w:r>
        <w:rPr>
          <w:rFonts w:ascii="Times New Roman" w:hAnsi="Times New Roman" w:cs="Times New Roman"/>
          <w:sz w:val="20"/>
        </w:rPr>
        <w:t xml:space="preserve">  </w:t>
      </w:r>
    </w:p>
    <w:p w:rsidR="001E1029" w:rsidRDefault="001E1029">
      <w:pPr>
        <w:spacing w:after="27"/>
        <w:ind w:left="720"/>
      </w:pPr>
      <w:r>
        <w:rPr>
          <w:rFonts w:ascii="Times New Roman" w:hAnsi="Times New Roman" w:cs="Times New Roman"/>
          <w:sz w:val="20"/>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Discuss/Action – Connect generators to SCADA units. </w:t>
      </w:r>
    </w:p>
    <w:p w:rsidR="001E1029" w:rsidRDefault="001E1029">
      <w:pPr>
        <w:spacing w:after="0"/>
        <w:ind w:left="720"/>
      </w:pPr>
      <w:r>
        <w:rPr>
          <w:rFonts w:ascii="Times New Roman" w:hAnsi="Times New Roman" w:cs="Times New Roman"/>
          <w:sz w:val="24"/>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Discuss/Action – TCEQ Enforcement Action – TTHM. </w:t>
      </w:r>
    </w:p>
    <w:p w:rsidR="001E1029" w:rsidRDefault="001E1029">
      <w:pPr>
        <w:spacing w:after="0"/>
        <w:ind w:left="720"/>
      </w:pPr>
      <w:r>
        <w:rPr>
          <w:rFonts w:ascii="Times New Roman" w:hAnsi="Times New Roman" w:cs="Times New Roman"/>
          <w:sz w:val="24"/>
        </w:rPr>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Discuss/Action – 2018 Annual Meeting Preparations and Election. </w:t>
      </w:r>
    </w:p>
    <w:p w:rsidR="001E1029" w:rsidRDefault="001E1029">
      <w:pPr>
        <w:spacing w:after="0"/>
        <w:ind w:left="2162"/>
      </w:pPr>
      <w:r>
        <w:rPr>
          <w:rFonts w:ascii="Times New Roman" w:hAnsi="Times New Roman" w:cs="Times New Roman"/>
          <w:sz w:val="24"/>
        </w:rPr>
        <w:t xml:space="preserve"> </w:t>
      </w:r>
      <w:r>
        <w:rPr>
          <w:rFonts w:ascii="Times New Roman" w:hAnsi="Times New Roman" w:cs="Times New Roman"/>
          <w:sz w:val="24"/>
        </w:rPr>
        <w:tab/>
        <w:t xml:space="preserve"> </w:t>
      </w: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Discuss/Action – TCEQ – Additional Sampling. </w:t>
      </w:r>
    </w:p>
    <w:p w:rsidR="001E1029" w:rsidRDefault="001E1029" w:rsidP="0070111E">
      <w:pPr>
        <w:numPr>
          <w:ilvl w:val="2"/>
          <w:numId w:val="1"/>
        </w:numPr>
        <w:spacing w:after="11" w:line="248" w:lineRule="auto"/>
        <w:ind w:right="88" w:hanging="240"/>
        <w:jc w:val="both"/>
      </w:pPr>
      <w:r>
        <w:rPr>
          <w:rFonts w:ascii="Times New Roman" w:hAnsi="Times New Roman" w:cs="Times New Roman"/>
          <w:sz w:val="24"/>
        </w:rPr>
        <w:t xml:space="preserve">LEV – Exception request – Blending water sources. </w:t>
      </w:r>
    </w:p>
    <w:p w:rsidR="001E1029" w:rsidRDefault="001E1029">
      <w:pPr>
        <w:spacing w:after="0"/>
        <w:ind w:left="720"/>
      </w:pPr>
    </w:p>
    <w:p w:rsidR="001E1029" w:rsidRPr="00DD6640" w:rsidRDefault="001E1029">
      <w:pPr>
        <w:numPr>
          <w:ilvl w:val="0"/>
          <w:numId w:val="1"/>
        </w:numPr>
        <w:spacing w:after="11" w:line="248" w:lineRule="auto"/>
        <w:ind w:right="88" w:hanging="721"/>
        <w:jc w:val="both"/>
      </w:pPr>
      <w:r>
        <w:rPr>
          <w:rFonts w:ascii="Times New Roman" w:hAnsi="Times New Roman" w:cs="Times New Roman"/>
          <w:sz w:val="24"/>
        </w:rPr>
        <w:t xml:space="preserve">Discuss/Action – Rate Increase – CTWSC Rate Increase. </w:t>
      </w:r>
    </w:p>
    <w:p w:rsidR="001E1029" w:rsidRDefault="001E1029">
      <w:pPr>
        <w:spacing w:after="0"/>
        <w:ind w:left="720"/>
      </w:pPr>
    </w:p>
    <w:p w:rsidR="001E1029" w:rsidRPr="00DD6640" w:rsidRDefault="001E1029">
      <w:pPr>
        <w:numPr>
          <w:ilvl w:val="0"/>
          <w:numId w:val="1"/>
        </w:numPr>
        <w:spacing w:after="11" w:line="248" w:lineRule="auto"/>
        <w:ind w:right="88" w:hanging="721"/>
        <w:jc w:val="both"/>
      </w:pPr>
      <w:r>
        <w:rPr>
          <w:rFonts w:ascii="Times New Roman" w:hAnsi="Times New Roman" w:cs="Times New Roman"/>
          <w:sz w:val="24"/>
        </w:rPr>
        <w:t xml:space="preserve">Discuss/Action – </w:t>
      </w:r>
      <w:r>
        <w:rPr>
          <w:sz w:val="24"/>
          <w:szCs w:val="24"/>
        </w:rPr>
        <w:t>Resolution to Cancel 2018 Election Due to Lack of Opposition</w:t>
      </w:r>
      <w:r>
        <w:rPr>
          <w:rFonts w:ascii="Times New Roman" w:hAnsi="Times New Roman" w:cs="Times New Roman"/>
          <w:sz w:val="24"/>
        </w:rPr>
        <w:t>.</w:t>
      </w:r>
    </w:p>
    <w:p w:rsidR="001E1029" w:rsidRDefault="001E1029" w:rsidP="00DD6640">
      <w:pPr>
        <w:spacing w:after="11" w:line="248" w:lineRule="auto"/>
        <w:ind w:right="88"/>
        <w:jc w:val="both"/>
        <w:rPr>
          <w:rFonts w:ascii="Times New Roman" w:hAnsi="Times New Roman" w:cs="Times New Roman"/>
          <w:sz w:val="24"/>
        </w:rPr>
      </w:pPr>
    </w:p>
    <w:p w:rsidR="001E1029" w:rsidRDefault="001E1029">
      <w:pPr>
        <w:numPr>
          <w:ilvl w:val="0"/>
          <w:numId w:val="1"/>
        </w:numPr>
        <w:spacing w:after="11" w:line="248" w:lineRule="auto"/>
        <w:ind w:right="88" w:hanging="721"/>
        <w:jc w:val="both"/>
      </w:pPr>
      <w:r>
        <w:rPr>
          <w:rFonts w:ascii="Times New Roman" w:hAnsi="Times New Roman" w:cs="Times New Roman"/>
          <w:sz w:val="24"/>
        </w:rPr>
        <w:t xml:space="preserve">Adjournment of meeting. </w:t>
      </w:r>
    </w:p>
    <w:p w:rsidR="001E1029" w:rsidRDefault="001E1029">
      <w:pPr>
        <w:spacing w:after="0"/>
        <w:ind w:left="720"/>
      </w:pPr>
      <w:r>
        <w:rPr>
          <w:rFonts w:ascii="Times New Roman" w:hAnsi="Times New Roman" w:cs="Times New Roman"/>
          <w:sz w:val="20"/>
        </w:rPr>
        <w:t xml:space="preserve"> </w:t>
      </w:r>
    </w:p>
    <w:p w:rsidR="001E1029" w:rsidRDefault="001E1029" w:rsidP="0070111E">
      <w:pPr>
        <w:spacing w:after="0"/>
      </w:pPr>
      <w:r>
        <w:rPr>
          <w:rFonts w:ascii="Times New Roman" w:hAnsi="Times New Roman" w:cs="Times New Roman"/>
          <w:sz w:val="20"/>
        </w:rPr>
        <w:t xml:space="preserve"> </w:t>
      </w:r>
      <w:r>
        <w:rPr>
          <w:rFonts w:ascii="Times New Roman" w:hAnsi="Times New Roman" w:cs="Times New Roman"/>
          <w:sz w:val="17"/>
        </w:rPr>
        <w:t xml:space="preserve">The Little Elm Valley Water Supply Corporation is committed to compliance with the Americans with Disabilities Act (ADA).  Reasonable accommodations and equal opportunity for effective communications will be provided upon request.  Please contact the Corporation office at </w:t>
      </w:r>
    </w:p>
    <w:p w:rsidR="001E1029" w:rsidRDefault="001E1029">
      <w:pPr>
        <w:spacing w:after="21" w:line="223" w:lineRule="auto"/>
        <w:ind w:left="180"/>
        <w:jc w:val="both"/>
      </w:pPr>
      <w:r>
        <w:rPr>
          <w:rFonts w:ascii="Times New Roman" w:hAnsi="Times New Roman" w:cs="Times New Roman"/>
          <w:sz w:val="17"/>
        </w:rPr>
        <w:t xml:space="preserve">254-697-4016 at least 24 hours in advance if accommodation is needed. </w:t>
      </w:r>
    </w:p>
    <w:p w:rsidR="001E1029" w:rsidRDefault="001E1029">
      <w:pPr>
        <w:numPr>
          <w:ilvl w:val="0"/>
          <w:numId w:val="2"/>
        </w:numPr>
        <w:spacing w:after="21" w:line="223" w:lineRule="auto"/>
        <w:ind w:hanging="190"/>
        <w:jc w:val="both"/>
      </w:pPr>
      <w:r>
        <w:rPr>
          <w:rFonts w:ascii="Times New Roman" w:hAnsi="Times New Roman" w:cs="Times New Roman"/>
          <w:sz w:val="17"/>
        </w:rPr>
        <w:t xml:space="preserve">During the meeting, the Board reserves the right to go into executive session for any of the following purposes:  real estate, litigation, or personnel matters under V.T.C.A., Government Code Sections 551.072, 551.071, and 551.074, respectively, or for any item on the above agenda for which an executive session is permitted by law. </w:t>
      </w:r>
    </w:p>
    <w:p w:rsidR="001E1029" w:rsidRDefault="001E1029" w:rsidP="0070111E">
      <w:pPr>
        <w:numPr>
          <w:ilvl w:val="0"/>
          <w:numId w:val="2"/>
        </w:numPr>
        <w:spacing w:after="24" w:line="223" w:lineRule="auto"/>
        <w:ind w:hanging="190"/>
        <w:jc w:val="both"/>
      </w:pPr>
      <w:r w:rsidRPr="0070111E">
        <w:rPr>
          <w:rFonts w:ascii="Times New Roman" w:hAnsi="Times New Roman" w:cs="Times New Roman"/>
          <w:sz w:val="17"/>
        </w:rPr>
        <w:t>Public comments will be limited to three (3) minutes from each individual desiring to speak.  The public comment period will be limited to one hour.  Board members are prohibited by law from discussing matters presented under this item, except for placement on a future agenda.</w:t>
      </w:r>
      <w:r w:rsidRPr="0070111E">
        <w:rPr>
          <w:rFonts w:ascii="Times New Roman" w:hAnsi="Times New Roman" w:cs="Times New Roman"/>
          <w:sz w:val="20"/>
        </w:rPr>
        <w:t xml:space="preserve">  </w:t>
      </w:r>
      <w:r w:rsidRPr="0070111E">
        <w:rPr>
          <w:rFonts w:ascii="Times New Roman" w:hAnsi="Times New Roman" w:cs="Times New Roman"/>
          <w:sz w:val="20"/>
        </w:rPr>
        <w:tab/>
        <w:t xml:space="preserve"> </w:t>
      </w:r>
    </w:p>
    <w:p w:rsidR="001E1029" w:rsidRDefault="001E1029" w:rsidP="0070111E">
      <w:pPr>
        <w:tabs>
          <w:tab w:val="center" w:pos="4681"/>
        </w:tabs>
        <w:spacing w:after="0"/>
        <w:ind w:left="190"/>
        <w:rPr>
          <w:rFonts w:ascii="Times New Roman" w:hAnsi="Times New Roman" w:cs="Times New Roman"/>
          <w:sz w:val="20"/>
        </w:rPr>
      </w:pPr>
    </w:p>
    <w:p w:rsidR="001E1029" w:rsidRDefault="001E1029">
      <w:pPr>
        <w:tabs>
          <w:tab w:val="center" w:pos="4681"/>
        </w:tabs>
        <w:spacing w:after="0"/>
      </w:pPr>
      <w:r>
        <w:rPr>
          <w:rFonts w:ascii="Times New Roman" w:hAnsi="Times New Roman" w:cs="Times New Roman"/>
          <w:sz w:val="20"/>
        </w:rPr>
        <w:tab/>
        <w:t>“</w:t>
      </w:r>
      <w:r>
        <w:rPr>
          <w:rFonts w:ascii="Times New Roman" w:hAnsi="Times New Roman" w:cs="Times New Roman"/>
          <w:i/>
          <w:sz w:val="20"/>
        </w:rPr>
        <w:t xml:space="preserve">This institution is an equal opportunity provider.” </w:t>
      </w:r>
    </w:p>
    <w:p w:rsidR="001E1029" w:rsidRDefault="001E1029">
      <w:pPr>
        <w:spacing w:after="0"/>
      </w:pPr>
      <w:r>
        <w:rPr>
          <w:rFonts w:ascii="Times New Roman" w:hAnsi="Times New Roman" w:cs="Times New Roman"/>
          <w:sz w:val="20"/>
        </w:rPr>
        <w:t xml:space="preserve"> </w:t>
      </w:r>
    </w:p>
    <w:sectPr w:rsidR="001E1029" w:rsidSect="0070111E">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5D24"/>
    <w:multiLevelType w:val="hybridMultilevel"/>
    <w:tmpl w:val="15689E12"/>
    <w:lvl w:ilvl="0" w:tplc="9946B72E">
      <w:start w:val="1"/>
      <w:numFmt w:val="decimal"/>
      <w:lvlText w:val="%1."/>
      <w:lvlJc w:val="left"/>
      <w:pPr>
        <w:ind w:left="1426"/>
      </w:pPr>
      <w:rPr>
        <w:rFonts w:ascii="Times New Roman" w:eastAsia="Times New Roman" w:hAnsi="Times New Roman" w:cs="Times New Roman"/>
        <w:b w:val="0"/>
        <w:i w:val="0"/>
        <w:strike w:val="0"/>
        <w:dstrike w:val="0"/>
        <w:color w:val="000000"/>
        <w:sz w:val="20"/>
        <w:szCs w:val="20"/>
        <w:u w:val="none" w:color="000000"/>
        <w:vertAlign w:val="baseline"/>
      </w:rPr>
    </w:lvl>
    <w:lvl w:ilvl="1" w:tplc="F12247C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vertAlign w:val="baseline"/>
      </w:rPr>
    </w:lvl>
    <w:lvl w:ilvl="2" w:tplc="74CADEFE">
      <w:start w:val="1"/>
      <w:numFmt w:val="lowerRoman"/>
      <w:lvlText w:val="%3"/>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3" w:tplc="68FE4D2C">
      <w:start w:val="1"/>
      <w:numFmt w:val="decimal"/>
      <w:lvlText w:val="%4"/>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4" w:tplc="F50C658A">
      <w:start w:val="1"/>
      <w:numFmt w:val="lowerLetter"/>
      <w:lvlText w:val="%5"/>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5" w:tplc="F534666A">
      <w:start w:val="1"/>
      <w:numFmt w:val="lowerRoman"/>
      <w:lvlText w:val="%6"/>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lvl w:ilvl="6" w:tplc="5E681B44">
      <w:start w:val="1"/>
      <w:numFmt w:val="decimal"/>
      <w:lvlText w:val="%7"/>
      <w:lvlJc w:val="left"/>
      <w:pPr>
        <w:ind w:left="6122"/>
      </w:pPr>
      <w:rPr>
        <w:rFonts w:ascii="Times New Roman" w:eastAsia="Times New Roman" w:hAnsi="Times New Roman" w:cs="Times New Roman"/>
        <w:b w:val="0"/>
        <w:i w:val="0"/>
        <w:strike w:val="0"/>
        <w:dstrike w:val="0"/>
        <w:color w:val="000000"/>
        <w:sz w:val="24"/>
        <w:szCs w:val="24"/>
        <w:u w:val="none" w:color="000000"/>
        <w:vertAlign w:val="baseline"/>
      </w:rPr>
    </w:lvl>
    <w:lvl w:ilvl="7" w:tplc="65A00C90">
      <w:start w:val="1"/>
      <w:numFmt w:val="lowerLetter"/>
      <w:lvlText w:val="%8"/>
      <w:lvlJc w:val="left"/>
      <w:pPr>
        <w:ind w:left="6842"/>
      </w:pPr>
      <w:rPr>
        <w:rFonts w:ascii="Times New Roman" w:eastAsia="Times New Roman" w:hAnsi="Times New Roman" w:cs="Times New Roman"/>
        <w:b w:val="0"/>
        <w:i w:val="0"/>
        <w:strike w:val="0"/>
        <w:dstrike w:val="0"/>
        <w:color w:val="000000"/>
        <w:sz w:val="24"/>
        <w:szCs w:val="24"/>
        <w:u w:val="none" w:color="000000"/>
        <w:vertAlign w:val="baseline"/>
      </w:rPr>
    </w:lvl>
    <w:lvl w:ilvl="8" w:tplc="52307720">
      <w:start w:val="1"/>
      <w:numFmt w:val="lowerRoman"/>
      <w:lvlText w:val="%9"/>
      <w:lvlJc w:val="left"/>
      <w:pPr>
        <w:ind w:left="756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3CE2689C"/>
    <w:multiLevelType w:val="hybridMultilevel"/>
    <w:tmpl w:val="D93A4562"/>
    <w:lvl w:ilvl="0" w:tplc="34A06F7E">
      <w:start w:val="1"/>
      <w:numFmt w:val="decimal"/>
      <w:lvlText w:val="%1."/>
      <w:lvlJc w:val="left"/>
      <w:pPr>
        <w:ind w:left="190"/>
      </w:pPr>
      <w:rPr>
        <w:rFonts w:ascii="Times New Roman" w:eastAsia="Times New Roman" w:hAnsi="Times New Roman" w:cs="Times New Roman"/>
        <w:b w:val="0"/>
        <w:i w:val="0"/>
        <w:strike w:val="0"/>
        <w:dstrike w:val="0"/>
        <w:color w:val="000000"/>
        <w:sz w:val="17"/>
        <w:szCs w:val="17"/>
        <w:u w:val="none" w:color="000000"/>
        <w:vertAlign w:val="baseline"/>
      </w:rPr>
    </w:lvl>
    <w:lvl w:ilvl="1" w:tplc="A9D85900">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vertAlign w:val="baseline"/>
      </w:rPr>
    </w:lvl>
    <w:lvl w:ilvl="2" w:tplc="E6AE425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vertAlign w:val="baseline"/>
      </w:rPr>
    </w:lvl>
    <w:lvl w:ilvl="3" w:tplc="CD641700">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vertAlign w:val="baseline"/>
      </w:rPr>
    </w:lvl>
    <w:lvl w:ilvl="4" w:tplc="A4AA95CE">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vertAlign w:val="baseline"/>
      </w:rPr>
    </w:lvl>
    <w:lvl w:ilvl="5" w:tplc="8C68D43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vertAlign w:val="baseline"/>
      </w:rPr>
    </w:lvl>
    <w:lvl w:ilvl="6" w:tplc="68B2CB40">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vertAlign w:val="baseline"/>
      </w:rPr>
    </w:lvl>
    <w:lvl w:ilvl="7" w:tplc="FDDEE9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vertAlign w:val="baseline"/>
      </w:rPr>
    </w:lvl>
    <w:lvl w:ilvl="8" w:tplc="BF5E0052">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58D"/>
    <w:rsid w:val="001E1029"/>
    <w:rsid w:val="00213E33"/>
    <w:rsid w:val="00272DB0"/>
    <w:rsid w:val="003844EB"/>
    <w:rsid w:val="0045558D"/>
    <w:rsid w:val="00557385"/>
    <w:rsid w:val="00651C0D"/>
    <w:rsid w:val="006B6CBD"/>
    <w:rsid w:val="0070111E"/>
    <w:rsid w:val="008205E9"/>
    <w:rsid w:val="00B33C2C"/>
    <w:rsid w:val="00CF4442"/>
    <w:rsid w:val="00D329BE"/>
    <w:rsid w:val="00DD6640"/>
    <w:rsid w:val="00F231EC"/>
    <w:rsid w:val="00F640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B0"/>
    <w:pPr>
      <w:spacing w:after="160" w:line="259" w:lineRule="auto"/>
    </w:pPr>
    <w:rPr>
      <w:rFonts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1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111E"/>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326</Words>
  <Characters>1864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ELM VALLEY WSC</dc:title>
  <dc:subject/>
  <dc:creator>Dwayne</dc:creator>
  <cp:keywords/>
  <dc:description/>
  <cp:lastModifiedBy>Jenn</cp:lastModifiedBy>
  <cp:revision>4</cp:revision>
  <cp:lastPrinted>2017-12-11T21:39:00Z</cp:lastPrinted>
  <dcterms:created xsi:type="dcterms:W3CDTF">2017-12-11T21:32:00Z</dcterms:created>
  <dcterms:modified xsi:type="dcterms:W3CDTF">2017-12-13T21:31:00Z</dcterms:modified>
</cp:coreProperties>
</file>